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AlexsLemonade/ScPCA-manuscript@d9f08e1</w:t>
        </w:r>
      </w:hyperlink>
      <w:r>
        <w:t xml:space="preserve"> </w:t>
      </w:r>
      <w:r>
        <w:t xml:space="preserve">on February 10,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For example, for</w:t>
      </w:r>
      <w:r>
        <w:t xml:space="preserve"> </w:t>
      </w:r>
      <w:r>
        <w:rPr>
          <w:rStyle w:val="VerbatimChar"/>
        </w:rPr>
        <w:t xml:space="preserve">SCPCP000004</w:t>
      </w:r>
      <w:r>
        <w:t xml:space="preserve">, the consensus cell type procedure labeled ~80% of cells, but the OpenScPCA project labeled ~88% of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cell type marker gene sets from each project’s respective</w:t>
      </w:r>
      <w:r>
        <w:t xml:space="preserve"> </w:t>
      </w:r>
      <w:r>
        <w:rPr>
          <w:rStyle w:val="VerbatimChar"/>
        </w:rPr>
        <w:t xml:space="preserve">CellAssign</w:t>
      </w:r>
      <w:r>
        <w:t xml:space="preserve"> </w:t>
      </w:r>
      <w:r>
        <w:t xml:space="preserve">reference,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cells and Pericytes) and/or neuronal cell types (e.g., Astrocytes and various types of glial cells), all of which are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Interestingly, only Monocytes and neuronal cell types, but no stromal cells, were overrepresented in bulk RNA-seq for</w:t>
      </w:r>
      <w:r>
        <w:t xml:space="preserve"> </w:t>
      </w:r>
      <w:r>
        <w:rPr>
          <w:rStyle w:val="VerbatimChar"/>
        </w:rPr>
        <w:t xml:space="preserve">SCPCP000009</w:t>
      </w:r>
      <w:r>
        <w:t xml:space="preserve"> </w:t>
      </w:r>
      <w:r>
        <w:t xml:space="preserve">(brain and CNS tumors).</w:t>
      </w:r>
      <w:r>
        <w:t xml:space="preserve"> </w:t>
      </w:r>
      <w:r>
        <w:t xml:space="preserve">As</w:t>
      </w:r>
      <w:r>
        <w:t xml:space="preserve"> </w:t>
      </w:r>
      <w:r>
        <w:rPr>
          <w:rStyle w:val="VerbatimChar"/>
        </w:rPr>
        <w:t xml:space="preserve">SCPCP000009</w:t>
      </w:r>
      <w:r>
        <w:t xml:space="preserve"> </w:t>
      </w:r>
      <w:r>
        <w:t xml:space="preserve">was sequenced at the single-nuclei level but</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 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r>
        <w:t xml:space="preserve"> </w:t>
      </w:r>
      <w:r>
        <w:t xml:space="preserve">Indeed, the other single-nuclei projects considered here also identified immune cell types as overrepresented in bulk RNA-seq: Monocytes were identified for</w:t>
      </w:r>
      <w:r>
        <w:t xml:space="preserve"> </w:t>
      </w:r>
      <w:r>
        <w:rPr>
          <w:rStyle w:val="VerbatimChar"/>
        </w:rPr>
        <w:t xml:space="preserve">SCPCP000006</w:t>
      </w:r>
      <w:r>
        <w:t xml:space="preserve"> </w:t>
      </w:r>
      <w:r>
        <w:t xml:space="preserve">(Wilms Tumor), and a combination of immune and non-immune cell types were identified for</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w:t>
      </w:r>
      <w:r>
        <w:t xml:space="preserve"> </w:t>
      </w:r>
      <w:r>
        <w:t xml:space="preserve">The diversity of cell types overrepresented in osteosarcoma bulk RNA-seq samples may also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In total, we observed that while bulk and single-cell or single-nuclei expression is indeed highly correlated, cell type differences may still be present between modalities potentially influenced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conducted overrepresentation analysis (ORA) to ascertain whether certain cell types might be overrepresented either modality (bulk vs. pseudobulk).</w:t>
      </w:r>
      <w:r>
        <w:t xml:space="preserve"> </w:t>
      </w:r>
      <w:r>
        <w:t xml:space="preserve">We specifically tested overrepresentation of the</w:t>
      </w:r>
      <w:r>
        <w:t xml:space="preserve"> </w:t>
      </w:r>
      <w:r>
        <w:rPr>
          <w:rStyle w:val="VerbatimChar"/>
        </w:rPr>
        <w:t xml:space="preserve">PanglaoDB</w:t>
      </w:r>
      <w:r>
        <w:t xml:space="preserve"> </w:t>
      </w:r>
      <w:r>
        <w:t xml:space="preserve">cell type marker gene sets used for each project’s respective</w:t>
      </w:r>
      <w:r>
        <w:t xml:space="preserve"> </w:t>
      </w:r>
      <w:r>
        <w:rPr>
          <w:rStyle w:val="VerbatimChar"/>
        </w:rPr>
        <w:t xml:space="preserve">CellAssign</w:t>
      </w:r>
      <w:r>
        <w:t xml:space="preserve"> </w:t>
      </w:r>
      <w:r>
        <w:t xml:space="preserve">reference.</w:t>
      </w:r>
    </w:p>
    <w:p>
      <w:pPr>
        <w:pStyle w:val="BodyText"/>
      </w:pPr>
      <w:r>
        <w:t xml:space="preserve">For input to the ORA,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set of cell type marker genes,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2/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2/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2/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2361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2/figures/compiled_figures/pngs/figure_4.png?sanitize=true" id="189" name="Picture"/>
                    <pic:cNvPicPr>
                      <a:picLocks noChangeArrowheads="1" noChangeAspect="1"/>
                    </pic:cNvPicPr>
                  </pic:nvPicPr>
                  <pic:blipFill>
                    <a:blip r:embed="rId187"/>
                    <a:stretch>
                      <a:fillRect/>
                    </a:stretch>
                  </pic:blipFill>
                  <pic:spPr bwMode="auto">
                    <a:xfrm>
                      <a:off x="0" y="0"/>
                      <a:ext cx="5943600" cy="762361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(top panel) and low-grade (bottom panel) glioma diagnoses for non-multiplexed libraries from patient tissue samples.</w:t>
      </w:r>
    </w:p>
    <w:p>
      <w:pPr>
        <w:pStyle w:val="BodyText"/>
      </w:pPr>
      <w:r>
        <w:t xml:space="preserve">C. Barplot showing all consensus cell types classified as immune cells across libraries of brain and CNS tumors, separated into high-grade (top panel) and low-grade (bottom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Any myeloid or lymphocyte immune cell types with fewer than 1000 cells across all libraries are also included in</w:t>
      </w:r>
      <w:r>
        <w:t xml:space="preserve"> </w:t>
      </w:r>
      <w:r>
        <w:t xml:space="preserve">“</w:t>
      </w:r>
      <w:r>
        <w:t xml:space="preserve">other</w:t>
      </w:r>
      <w:r>
        <w:t xml:space="preserve">”</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2/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5943600"/>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2/figures/compiled_figures/pngs/figure_6.png?sanitize=true" id="197" name="Picture"/>
                    <pic:cNvPicPr>
                      <a:picLocks noChangeArrowheads="1" noChangeAspect="1"/>
                    </pic:cNvPicPr>
                  </pic:nvPicPr>
                  <pic:blipFill>
                    <a:blip r:embed="rId195"/>
                    <a:stretch>
                      <a:fillRect/>
                    </a:stretch>
                  </pic:blipFill>
                  <pic:spPr bwMode="auto">
                    <a:xfrm>
                      <a:off x="0" y="0"/>
                      <a:ext cx="5943600" cy="5943600"/>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68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2/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2/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2/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2/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448721"/>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2/figures/compiled_figures/pngs/figure_s5.png?sanitize=true" id="218" name="Picture"/>
                    <pic:cNvPicPr>
                      <a:picLocks noChangeArrowheads="1" noChangeAspect="1"/>
                    </pic:cNvPicPr>
                  </pic:nvPicPr>
                  <pic:blipFill>
                    <a:blip r:embed="rId216"/>
                    <a:stretch>
                      <a:fillRect/>
                    </a:stretch>
                  </pic:blipFill>
                  <pic:spPr bwMode="auto">
                    <a:xfrm>
                      <a:off x="0" y="0"/>
                      <a:ext cx="5943600" cy="7448721"/>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730836"/>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2/figures/compiled_figures/pngs/figure_s6.png?sanitize=true" id="222" name="Picture"/>
                    <pic:cNvPicPr>
                      <a:picLocks noChangeArrowheads="1" noChangeAspect="1"/>
                    </pic:cNvPicPr>
                  </pic:nvPicPr>
                  <pic:blipFill>
                    <a:blip r:embed="rId220"/>
                    <a:stretch>
                      <a:fillRect/>
                    </a:stretch>
                  </pic:blipFill>
                  <pic:spPr bwMode="auto">
                    <a:xfrm>
                      <a:off x="0" y="0"/>
                      <a:ext cx="5943600" cy="4730836"/>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r>
        <w:t xml:space="preserve">Only non-multiplexed libraries from patient tissue samples are shown.</w:t>
      </w:r>
      <w:r>
        <w:t xml:space="preserve"> </w:t>
      </w:r>
    </w:p>
    <w:bookmarkStart w:id="0" w:name="fig:figS7"/>
    <w:p>
      <w:pPr>
        <w:pStyle w:val="CaptionedFigure"/>
      </w:pPr>
      <w:bookmarkStart w:id="227" w:name="fig:figS7"/>
      <w:r>
        <w:drawing>
          <wp:inline>
            <wp:extent cx="5943600" cy="475488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2/figures/compiled_figures/pngs/figure_s7.png?sanitize=true" id="226" name="Picture"/>
                    <pic:cNvPicPr>
                      <a:picLocks noChangeArrowheads="1" noChangeAspect="1"/>
                    </pic:cNvPicPr>
                  </pic:nvPicPr>
                  <pic:blipFill>
                    <a:blip r:embed="rId224"/>
                    <a:stretch>
                      <a:fillRect/>
                    </a:stretch>
                  </pic:blipFill>
                  <pic:spPr bwMode="auto">
                    <a:xfrm>
                      <a:off x="0" y="0"/>
                      <a:ext cx="5943600" cy="475488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44 cell types were evaluated for project</w:t>
      </w:r>
      <w:r>
        <w:t xml:space="preserve"> </w:t>
      </w:r>
      <w:r>
        <w:rPr>
          <w:rStyle w:val="VerbatimChar"/>
        </w:rPr>
        <w:t xml:space="preserve">SCPCP000006</w:t>
      </w:r>
      <w:r>
        <w:t xml:space="preserve">, and 50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d9f08e191e5991ca162fa0576f23ce76b580e707/"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9f08e191e5991ca162fa0576f23ce76b580e707"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d9f08e191e5991ca162fa0576f23ce76b580e707/"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9f08e191e5991ca162fa0576f23ce76b580e707"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2026-02-10T17:53:02Z</dcterms:created>
  <dcterms:modified xsi:type="dcterms:W3CDTF">2026-02-10T17:53:02Z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